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4502813041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weight control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holes on bags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Mould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Undeveloped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06.11.2024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