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4502856161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Mouldy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Embedded dirt / Sand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Torn / Split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Stained / Spotty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Spoilt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Hail Marks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Crysrallised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Unripe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17.12.2024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