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520020911-05-239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4503021572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08.04.2025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